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3D54" w14:textId="77777777" w:rsidR="008D7894" w:rsidRDefault="008D7894">
      <w:pPr>
        <w:rPr>
          <w:color w:val="FF0000"/>
        </w:rPr>
      </w:pPr>
      <w:r w:rsidRPr="008D7894">
        <w:rPr>
          <w:color w:val="FF0000"/>
        </w:rPr>
        <w:t>Občanská výchova 9.ročník – zápis do sešitu</w:t>
      </w:r>
    </w:p>
    <w:p w14:paraId="79B2AB09" w14:textId="77777777" w:rsidR="008D7894" w:rsidRDefault="008D7894" w:rsidP="008D7894">
      <w:pPr>
        <w:spacing w:after="0" w:line="276" w:lineRule="auto"/>
      </w:pPr>
      <w:r>
        <w:t xml:space="preserve">Trh : </w:t>
      </w:r>
      <w:r>
        <w:tab/>
        <w:t>výrobků a služeb</w:t>
      </w:r>
    </w:p>
    <w:p w14:paraId="56586B35" w14:textId="77777777" w:rsidR="008D7894" w:rsidRDefault="008D7894" w:rsidP="008D7894">
      <w:pPr>
        <w:spacing w:after="0" w:line="276" w:lineRule="auto"/>
      </w:pPr>
      <w:r>
        <w:tab/>
        <w:t>práce</w:t>
      </w:r>
    </w:p>
    <w:p w14:paraId="1915C2AC" w14:textId="77777777" w:rsidR="008D7894" w:rsidRDefault="008D7894" w:rsidP="008D7894">
      <w:pPr>
        <w:spacing w:after="0" w:line="276" w:lineRule="auto"/>
      </w:pPr>
      <w:r>
        <w:tab/>
        <w:t>finanční</w:t>
      </w:r>
    </w:p>
    <w:p w14:paraId="72DA01F8" w14:textId="77777777" w:rsidR="008D7894" w:rsidRDefault="008D7894" w:rsidP="008D7894">
      <w:pPr>
        <w:spacing w:after="0" w:line="276" w:lineRule="auto"/>
      </w:pPr>
      <w:r>
        <w:t>Trh výrobků a služeb : směna výrobků a služeb za peníze mezi kupujícím a prodávajícím</w:t>
      </w:r>
    </w:p>
    <w:p w14:paraId="308A7DDB" w14:textId="77777777" w:rsidR="008D7894" w:rsidRDefault="008D7894" w:rsidP="008D7894">
      <w:pPr>
        <w:spacing w:after="0" w:line="276" w:lineRule="auto"/>
      </w:pPr>
      <w:r>
        <w:t>Nabídka : tvoří ji firmy, které nabízejí své výrobky</w:t>
      </w:r>
    </w:p>
    <w:p w14:paraId="4C0B10A7" w14:textId="77777777" w:rsidR="008D7894" w:rsidRDefault="008D7894" w:rsidP="008D7894">
      <w:pPr>
        <w:spacing w:after="0" w:line="276" w:lineRule="auto"/>
      </w:pPr>
      <w:r>
        <w:t>Poptávka : vytvářejí ji domácnosti, které poptávají výrobky</w:t>
      </w:r>
    </w:p>
    <w:p w14:paraId="5F8AA531" w14:textId="77777777" w:rsidR="008D7894" w:rsidRDefault="00A95DC2" w:rsidP="008D7894">
      <w:pPr>
        <w:spacing w:after="0" w:line="276" w:lineRule="auto"/>
      </w:pPr>
      <w:r>
        <w:t>Tržní cena :  tvoří ji střetávání nabídky a poptávky</w:t>
      </w:r>
    </w:p>
    <w:p w14:paraId="64F0306D" w14:textId="77777777" w:rsidR="00A95DC2" w:rsidRDefault="00A95DC2" w:rsidP="008D7894">
      <w:pPr>
        <w:spacing w:after="0" w:line="276" w:lineRule="auto"/>
      </w:pPr>
      <w:r>
        <w:tab/>
        <w:t xml:space="preserve">        pokud roste poptávka, roste i cena</w:t>
      </w:r>
    </w:p>
    <w:p w14:paraId="6D7EA774" w14:textId="77777777" w:rsidR="00A95DC2" w:rsidRDefault="00A95DC2" w:rsidP="008D7894">
      <w:pPr>
        <w:spacing w:after="0" w:line="276" w:lineRule="auto"/>
      </w:pPr>
      <w:r>
        <w:tab/>
        <w:t xml:space="preserve">        pokud roste nabídka, roste i cena</w:t>
      </w:r>
    </w:p>
    <w:p w14:paraId="2EEAEF86" w14:textId="77777777" w:rsidR="00A95DC2" w:rsidRDefault="00A95DC2" w:rsidP="008D7894">
      <w:pPr>
        <w:spacing w:after="0" w:line="276" w:lineRule="auto"/>
      </w:pPr>
    </w:p>
    <w:p w14:paraId="05F3AE31" w14:textId="77777777" w:rsidR="00A95DC2" w:rsidRDefault="00A95DC2" w:rsidP="008D7894">
      <w:pPr>
        <w:spacing w:after="0" w:line="276" w:lineRule="auto"/>
      </w:pPr>
      <w:r>
        <w:t>Banky</w:t>
      </w:r>
    </w:p>
    <w:p w14:paraId="706E3E5A" w14:textId="77777777" w:rsidR="00A95DC2" w:rsidRDefault="00A95DC2" w:rsidP="00A95DC2">
      <w:pPr>
        <w:pStyle w:val="Odstavecseseznamem"/>
        <w:numPr>
          <w:ilvl w:val="0"/>
          <w:numId w:val="1"/>
        </w:numPr>
        <w:spacing w:after="0" w:line="276" w:lineRule="auto"/>
      </w:pPr>
      <w:r>
        <w:t>centrální Česká národní banka – vydává bankovky, dohlíží na obchodní banky</w:t>
      </w:r>
    </w:p>
    <w:p w14:paraId="505AF782" w14:textId="77777777" w:rsidR="00A95DC2" w:rsidRDefault="00A95DC2" w:rsidP="00A95DC2">
      <w:pPr>
        <w:pStyle w:val="Odstavecseseznamem"/>
        <w:numPr>
          <w:ilvl w:val="0"/>
          <w:numId w:val="1"/>
        </w:numPr>
        <w:spacing w:after="0" w:line="276" w:lineRule="auto"/>
      </w:pPr>
      <w:r>
        <w:t>obchodní banky ( Česká spořitelna, Komerční banka, Fio banka apod.) – přijímají vklady, poskytují úvěry, vedou bankovní účty, provádějí bezhotovostní platby</w:t>
      </w:r>
    </w:p>
    <w:p w14:paraId="4CD616F5" w14:textId="77777777" w:rsidR="00A95DC2" w:rsidRDefault="00A95DC2" w:rsidP="00A95DC2">
      <w:pPr>
        <w:spacing w:after="0" w:line="276" w:lineRule="auto"/>
      </w:pPr>
    </w:p>
    <w:p w14:paraId="4C3BA1F3" w14:textId="77777777" w:rsidR="00A95DC2" w:rsidRDefault="00A95DC2" w:rsidP="00A95DC2">
      <w:pPr>
        <w:spacing w:after="0" w:line="276" w:lineRule="auto"/>
      </w:pPr>
      <w:r>
        <w:t>Některé finanční produkty</w:t>
      </w:r>
    </w:p>
    <w:p w14:paraId="26C0C52A" w14:textId="77777777" w:rsidR="00A95DC2" w:rsidRDefault="00A95DC2" w:rsidP="00A95DC2">
      <w:pPr>
        <w:pStyle w:val="Odstavecseseznamem"/>
        <w:numPr>
          <w:ilvl w:val="0"/>
          <w:numId w:val="2"/>
        </w:numPr>
        <w:spacing w:after="0" w:line="276" w:lineRule="auto"/>
      </w:pPr>
      <w:r>
        <w:t>penzijní připojištění – spoření na důchod</w:t>
      </w:r>
    </w:p>
    <w:p w14:paraId="4C58A696" w14:textId="77777777" w:rsidR="00A95DC2" w:rsidRDefault="00A95DC2" w:rsidP="00A95DC2">
      <w:pPr>
        <w:pStyle w:val="Odstavecseseznamem"/>
        <w:numPr>
          <w:ilvl w:val="0"/>
          <w:numId w:val="2"/>
        </w:numPr>
        <w:spacing w:after="0" w:line="276" w:lineRule="auto"/>
      </w:pPr>
      <w:r>
        <w:t>stavební spoření – spoření se státním příspěvkem</w:t>
      </w:r>
      <w:r w:rsidR="00A02BEC">
        <w:t>, primárně určené na pořízení domu, či bytu</w:t>
      </w:r>
    </w:p>
    <w:p w14:paraId="7FFBA985" w14:textId="77777777" w:rsidR="00A02BEC" w:rsidRDefault="00A02BEC" w:rsidP="00A95DC2">
      <w:pPr>
        <w:pStyle w:val="Odstavecseseznamem"/>
        <w:numPr>
          <w:ilvl w:val="0"/>
          <w:numId w:val="2"/>
        </w:numPr>
        <w:spacing w:after="0" w:line="276" w:lineRule="auto"/>
      </w:pPr>
      <w:r>
        <w:t>pojištění – uzavírá se na nepředvídatelné události ( životní, cestovní, havarijní, úrazové, majetku, odpovědnosti za škodu apod.)</w:t>
      </w:r>
    </w:p>
    <w:p w14:paraId="74A35C22" w14:textId="77777777" w:rsidR="00A02BEC" w:rsidRDefault="00A02BEC" w:rsidP="00A95DC2">
      <w:pPr>
        <w:pStyle w:val="Odstavecseseznamem"/>
        <w:numPr>
          <w:ilvl w:val="0"/>
          <w:numId w:val="2"/>
        </w:numPr>
        <w:spacing w:after="0" w:line="276" w:lineRule="auto"/>
      </w:pPr>
      <w:r>
        <w:t>úvěr – půjčka na určitý úrok</w:t>
      </w:r>
    </w:p>
    <w:p w14:paraId="3A127844" w14:textId="77777777" w:rsidR="00A02BEC" w:rsidRDefault="00A02BEC" w:rsidP="00A95DC2">
      <w:pPr>
        <w:pStyle w:val="Odstavecseseznamem"/>
        <w:numPr>
          <w:ilvl w:val="0"/>
          <w:numId w:val="2"/>
        </w:numPr>
        <w:spacing w:after="0" w:line="276" w:lineRule="auto"/>
      </w:pPr>
      <w:r>
        <w:t>hypotéka – dlouhodobý úvěr určený na pořízení domu či bytu</w:t>
      </w:r>
    </w:p>
    <w:p w14:paraId="719CA28A" w14:textId="77777777" w:rsidR="00A02BEC" w:rsidRDefault="00A02BEC" w:rsidP="00A95DC2">
      <w:pPr>
        <w:pStyle w:val="Odstavecseseznamem"/>
        <w:numPr>
          <w:ilvl w:val="0"/>
          <w:numId w:val="2"/>
        </w:numPr>
        <w:spacing w:after="0" w:line="276" w:lineRule="auto"/>
      </w:pPr>
      <w:r>
        <w:t>leasing – forma úvěru ( klient např. splácí auto, užívá ho, ale není jeho majetkem, auto až do splacení patří leasingové společnosti)</w:t>
      </w:r>
    </w:p>
    <w:p w14:paraId="2114802C" w14:textId="77777777" w:rsidR="00A02BEC" w:rsidRDefault="00A02BEC" w:rsidP="00A02BEC">
      <w:pPr>
        <w:spacing w:after="0" w:line="276" w:lineRule="auto"/>
      </w:pPr>
    </w:p>
    <w:p w14:paraId="2A85CB29" w14:textId="77777777" w:rsidR="00A02BEC" w:rsidRDefault="00A02BEC" w:rsidP="00A02BEC">
      <w:pPr>
        <w:spacing w:after="0" w:line="276" w:lineRule="auto"/>
      </w:pPr>
    </w:p>
    <w:p w14:paraId="69CFC00E" w14:textId="77777777" w:rsidR="00A02BEC" w:rsidRDefault="00A02BEC" w:rsidP="00A02BEC">
      <w:pPr>
        <w:spacing w:after="0" w:line="276" w:lineRule="auto"/>
        <w:rPr>
          <w:color w:val="FF0000"/>
        </w:rPr>
      </w:pPr>
      <w:r>
        <w:rPr>
          <w:color w:val="FF0000"/>
        </w:rPr>
        <w:t>Úkol – do 27.3.2020</w:t>
      </w:r>
    </w:p>
    <w:p w14:paraId="6207C2F5" w14:textId="77777777" w:rsidR="00A02BEC" w:rsidRDefault="00A02BEC" w:rsidP="00A02BEC">
      <w:pPr>
        <w:spacing w:after="0" w:line="276" w:lineRule="auto"/>
        <w:rPr>
          <w:color w:val="FF0000"/>
        </w:rPr>
      </w:pPr>
      <w:r>
        <w:rPr>
          <w:color w:val="FF0000"/>
        </w:rPr>
        <w:t>Pošlete odpovědi e-mailem.</w:t>
      </w:r>
    </w:p>
    <w:p w14:paraId="5ECF2418" w14:textId="77777777" w:rsidR="00A02BEC" w:rsidRDefault="00A02BEC" w:rsidP="00A02BEC">
      <w:pPr>
        <w:spacing w:after="0" w:line="276" w:lineRule="auto"/>
        <w:rPr>
          <w:color w:val="FF0000"/>
        </w:rPr>
      </w:pPr>
    </w:p>
    <w:p w14:paraId="4BA8868F" w14:textId="77777777" w:rsidR="00A02BEC" w:rsidRPr="00A02BEC" w:rsidRDefault="00A02BEC" w:rsidP="00A02BEC">
      <w:pPr>
        <w:spacing w:after="0" w:line="276" w:lineRule="auto"/>
        <w:rPr>
          <w:b/>
          <w:bCs/>
          <w:color w:val="385623" w:themeColor="accent6" w:themeShade="80"/>
        </w:rPr>
      </w:pPr>
      <w:r w:rsidRPr="00A02BEC">
        <w:rPr>
          <w:b/>
          <w:bCs/>
          <w:color w:val="385623" w:themeColor="accent6" w:themeShade="80"/>
        </w:rPr>
        <w:t>Dana a Jan si chtějí půjčit 20.000,- Kč. Zjistěte, kdo získal výhodnější půjčku.</w:t>
      </w:r>
    </w:p>
    <w:p w14:paraId="1B3EEDA0" w14:textId="77777777" w:rsidR="00A02BEC" w:rsidRPr="00A02BEC" w:rsidRDefault="00A02BEC" w:rsidP="00A02BEC">
      <w:pPr>
        <w:spacing w:after="0" w:line="276" w:lineRule="auto"/>
        <w:rPr>
          <w:b/>
          <w:bCs/>
          <w:color w:val="385623" w:themeColor="accent6" w:themeShade="80"/>
        </w:rPr>
      </w:pPr>
      <w:r w:rsidRPr="00A02BEC">
        <w:rPr>
          <w:b/>
          <w:bCs/>
          <w:color w:val="385623" w:themeColor="accent6" w:themeShade="80"/>
        </w:rPr>
        <w:t>Daně nabídla Banka X  úvěr 20.000,- Kč na 12 měsíců při úrokové míře 10%.</w:t>
      </w:r>
    </w:p>
    <w:p w14:paraId="582EC626" w14:textId="77777777" w:rsidR="00A02BEC" w:rsidRDefault="00A02BEC" w:rsidP="00A02BEC">
      <w:pPr>
        <w:spacing w:after="0" w:line="276" w:lineRule="auto"/>
        <w:rPr>
          <w:b/>
          <w:bCs/>
          <w:color w:val="385623" w:themeColor="accent6" w:themeShade="80"/>
        </w:rPr>
      </w:pPr>
      <w:r w:rsidRPr="00A02BEC">
        <w:rPr>
          <w:b/>
          <w:bCs/>
          <w:color w:val="385623" w:themeColor="accent6" w:themeShade="80"/>
        </w:rPr>
        <w:t>Janovi nabídla Banka Y úvěr 20.000,- Kč na 1 rok za podmínky, že bance vrátí celkem 22.400,- Kč.</w:t>
      </w:r>
    </w:p>
    <w:p w14:paraId="15749465" w14:textId="77777777" w:rsidR="00396A95" w:rsidRDefault="00396A95" w:rsidP="00A02BEC">
      <w:pPr>
        <w:spacing w:after="0" w:line="276" w:lineRule="auto"/>
        <w:rPr>
          <w:b/>
          <w:bCs/>
          <w:color w:val="385623" w:themeColor="accent6" w:themeShade="80"/>
        </w:rPr>
      </w:pPr>
    </w:p>
    <w:p w14:paraId="346DB272" w14:textId="77777777" w:rsidR="00396A95" w:rsidRDefault="00396A95" w:rsidP="00A02BEC">
      <w:pPr>
        <w:spacing w:after="0" w:line="276" w:lineRule="auto"/>
        <w:rPr>
          <w:b/>
          <w:bCs/>
          <w:color w:val="7030A0"/>
        </w:rPr>
      </w:pPr>
      <w:r>
        <w:rPr>
          <w:b/>
          <w:bCs/>
          <w:color w:val="7030A0"/>
        </w:rPr>
        <w:t>Doufám, že  tenhle stav brzy skončí a vrátíme se k normální výuce.</w:t>
      </w:r>
    </w:p>
    <w:p w14:paraId="6F638B64" w14:textId="77777777" w:rsidR="00396A95" w:rsidRPr="00396A95" w:rsidRDefault="00396A95" w:rsidP="00A02BEC">
      <w:pPr>
        <w:spacing w:after="0" w:line="276" w:lineRule="auto"/>
        <w:rPr>
          <w:b/>
          <w:bCs/>
          <w:color w:val="7030A0"/>
        </w:rPr>
      </w:pPr>
      <w:r>
        <w:rPr>
          <w:b/>
          <w:bCs/>
          <w:color w:val="7030A0"/>
        </w:rPr>
        <w:t>M.M.</w:t>
      </w:r>
      <w:bookmarkStart w:id="0" w:name="_GoBack"/>
      <w:bookmarkEnd w:id="0"/>
    </w:p>
    <w:p w14:paraId="58E75C36" w14:textId="77777777" w:rsidR="00A95DC2" w:rsidRPr="00A02BEC" w:rsidRDefault="00A95DC2" w:rsidP="00A95DC2">
      <w:pPr>
        <w:pStyle w:val="Odstavecseseznamem"/>
        <w:spacing w:after="0" w:line="276" w:lineRule="auto"/>
        <w:rPr>
          <w:b/>
          <w:bCs/>
        </w:rPr>
      </w:pPr>
    </w:p>
    <w:sectPr w:rsidR="00A95DC2" w:rsidRPr="00A0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51EC7"/>
    <w:multiLevelType w:val="hybridMultilevel"/>
    <w:tmpl w:val="C9881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687"/>
    <w:multiLevelType w:val="hybridMultilevel"/>
    <w:tmpl w:val="1DA4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94"/>
    <w:rsid w:val="00396A95"/>
    <w:rsid w:val="008D7894"/>
    <w:rsid w:val="00A02BEC"/>
    <w:rsid w:val="00A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7B08"/>
  <w15:chartTrackingRefBased/>
  <w15:docId w15:val="{A3605204-7505-4353-93FA-2694927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E015E-5535-4E3F-9F8C-FFB27567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86106-A89C-497B-8979-55C9EBC0A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6EF1-F5D0-4B7B-AD02-F10F6C71A00B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aaeb3677-8ee9-47f4-ad1b-015a2f353798"/>
    <ds:schemaRef ds:uri="3f609678-6325-43e5-a22d-2d1019258b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2020-03-21T17:17:00Z</dcterms:created>
  <dcterms:modified xsi:type="dcterms:W3CDTF">2020-03-21T17:57:00Z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