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A79C" w14:textId="77777777" w:rsidR="00396F4E" w:rsidRPr="00396F4E" w:rsidRDefault="00C7418C" w:rsidP="00396F4E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Skladba - cvičení</w:t>
      </w:r>
      <w:bookmarkStart w:id="0" w:name="_GoBack"/>
      <w:bookmarkEnd w:id="0"/>
    </w:p>
    <w:p w14:paraId="4807F4CC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96F4E">
        <w:rPr>
          <w:rFonts w:ascii="Times New Roman" w:hAnsi="Times New Roman" w:cs="Times New Roman"/>
          <w:b/>
          <w:bCs/>
          <w:sz w:val="28"/>
          <w:szCs w:val="28"/>
        </w:rPr>
        <w:t xml:space="preserve">Doplň chybějící čárky. </w:t>
      </w:r>
    </w:p>
    <w:p w14:paraId="744709E0" w14:textId="77777777" w:rsidR="00396F4E" w:rsidRPr="00396F4E" w:rsidRDefault="00396F4E" w:rsidP="00396F4E">
      <w:pPr>
        <w:pStyle w:val="Pa14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V dnešní době nekonečných </w:t>
      </w:r>
      <w:proofErr w:type="gramStart"/>
      <w:r w:rsidRPr="00396F4E">
        <w:rPr>
          <w:rFonts w:ascii="Times New Roman" w:hAnsi="Times New Roman" w:cs="Times New Roman"/>
          <w:sz w:val="28"/>
          <w:szCs w:val="28"/>
        </w:rPr>
        <w:t>seznamů</w:t>
      </w:r>
      <w:proofErr w:type="gramEnd"/>
      <w:r w:rsidRPr="00396F4E">
        <w:rPr>
          <w:rFonts w:ascii="Times New Roman" w:hAnsi="Times New Roman" w:cs="Times New Roman"/>
          <w:sz w:val="28"/>
          <w:szCs w:val="28"/>
        </w:rPr>
        <w:t xml:space="preserve"> co je třeba nakoupit a co je nutné ještě zorganizovat aby domácnost nebo pracoviště fungovalo často zapomínáme na jednu z oblastí která je pro člověka příznačná. Vedle učení a práce je zde i hra. Není </w:t>
      </w:r>
      <w:proofErr w:type="gramStart"/>
      <w:r w:rsidRPr="00396F4E">
        <w:rPr>
          <w:rFonts w:ascii="Times New Roman" w:hAnsi="Times New Roman" w:cs="Times New Roman"/>
          <w:sz w:val="28"/>
          <w:szCs w:val="28"/>
        </w:rPr>
        <w:t>pravdou</w:t>
      </w:r>
      <w:proofErr w:type="gramEnd"/>
      <w:r w:rsidRPr="00396F4E">
        <w:rPr>
          <w:rFonts w:ascii="Times New Roman" w:hAnsi="Times New Roman" w:cs="Times New Roman"/>
          <w:sz w:val="28"/>
          <w:szCs w:val="28"/>
        </w:rPr>
        <w:t xml:space="preserve"> že hrát si mají jen děti a že pro dospělé je jejich hlavní činností práce poněvadž všechny tři aktivity se prolínají napříč všemi věkovými obdobími člověka. Malé dítě se prostřednictvím hry mnohému učí na pískovišti se </w:t>
      </w:r>
      <w:proofErr w:type="gramStart"/>
      <w:r w:rsidRPr="00396F4E">
        <w:rPr>
          <w:rFonts w:ascii="Times New Roman" w:hAnsi="Times New Roman" w:cs="Times New Roman"/>
          <w:sz w:val="28"/>
          <w:szCs w:val="28"/>
        </w:rPr>
        <w:t>tím</w:t>
      </w:r>
      <w:proofErr w:type="gramEnd"/>
      <w:r w:rsidRPr="00396F4E">
        <w:rPr>
          <w:rFonts w:ascii="Times New Roman" w:hAnsi="Times New Roman" w:cs="Times New Roman"/>
          <w:sz w:val="28"/>
          <w:szCs w:val="28"/>
        </w:rPr>
        <w:t xml:space="preserve"> že tvoří koláčky z písku naučí nejen fyzikálním zákonům ale i mnohým sociálním dovednostem. Pro malé děti je takováto výroba opravdová práce vždyť tím dokáží strávit celé hodiny s opravdovou pílí kterou by si mnozí manažeři přáli pro své zaměstnance. Hra učení a práce by se měly zdravě prolínat i v dospělém životě ale mnozí dospělí na hru </w:t>
      </w:r>
      <w:proofErr w:type="gramStart"/>
      <w:r w:rsidRPr="00396F4E">
        <w:rPr>
          <w:rFonts w:ascii="Times New Roman" w:hAnsi="Times New Roman" w:cs="Times New Roman"/>
          <w:sz w:val="28"/>
          <w:szCs w:val="28"/>
        </w:rPr>
        <w:t>zapomínají</w:t>
      </w:r>
      <w:proofErr w:type="gramEnd"/>
      <w:r w:rsidRPr="00396F4E">
        <w:rPr>
          <w:rFonts w:ascii="Times New Roman" w:hAnsi="Times New Roman" w:cs="Times New Roman"/>
          <w:sz w:val="28"/>
          <w:szCs w:val="28"/>
        </w:rPr>
        <w:t xml:space="preserve"> neboť učení vztahují na léta školních lavic. Výzkumy potvrzují že pro zdravou duševní rovnováhu je hra velmi důležitá. </w:t>
      </w:r>
    </w:p>
    <w:p w14:paraId="6452D96C" w14:textId="77777777" w:rsidR="00396F4E" w:rsidRDefault="00396F4E" w:rsidP="00396F4E">
      <w:pPr>
        <w:pStyle w:val="Default"/>
      </w:pPr>
      <w:r w:rsidRPr="00396F4E">
        <w:rPr>
          <w:rFonts w:ascii="Times New Roman" w:hAnsi="Times New Roman" w:cs="Times New Roman"/>
          <w:sz w:val="28"/>
          <w:szCs w:val="28"/>
        </w:rPr>
        <w:t>(</w:t>
      </w:r>
      <w:r w:rsidRPr="00396F4E">
        <w:rPr>
          <w:rFonts w:ascii="Times New Roman" w:hAnsi="Times New Roman" w:cs="Times New Roman"/>
          <w:i/>
          <w:iCs/>
          <w:sz w:val="28"/>
          <w:szCs w:val="28"/>
        </w:rPr>
        <w:t>Nezapomínejme si hrát, https://www.celostnimedicina.cz/nezapominejme</w:t>
      </w:r>
      <w:r w:rsidRPr="00396F4E">
        <w:rPr>
          <w:rFonts w:ascii="Times New Roman" w:hAnsi="Times New Roman" w:cs="Times New Roman"/>
          <w:sz w:val="28"/>
          <w:szCs w:val="28"/>
        </w:rPr>
        <w:noBreakHyphen/>
      </w:r>
      <w:r w:rsidRPr="00396F4E">
        <w:rPr>
          <w:rFonts w:ascii="Times New Roman" w:hAnsi="Times New Roman" w:cs="Times New Roman"/>
          <w:i/>
          <w:iCs/>
          <w:sz w:val="28"/>
          <w:szCs w:val="28"/>
        </w:rPr>
        <w:t>si</w:t>
      </w:r>
      <w:r w:rsidRPr="00396F4E">
        <w:rPr>
          <w:rFonts w:ascii="Times New Roman" w:hAnsi="Times New Roman" w:cs="Times New Roman"/>
          <w:sz w:val="28"/>
          <w:szCs w:val="28"/>
        </w:rPr>
        <w:noBreakHyphen/>
      </w:r>
      <w:r w:rsidRPr="00396F4E">
        <w:rPr>
          <w:rFonts w:ascii="Times New Roman" w:hAnsi="Times New Roman" w:cs="Times New Roman"/>
          <w:i/>
          <w:iCs/>
          <w:sz w:val="28"/>
          <w:szCs w:val="28"/>
        </w:rPr>
        <w:t>hrat.htm</w:t>
      </w:r>
      <w:r w:rsidRPr="00396F4E">
        <w:rPr>
          <w:rFonts w:ascii="Times New Roman" w:hAnsi="Times New Roman" w:cs="Times New Roman"/>
          <w:sz w:val="28"/>
          <w:szCs w:val="28"/>
        </w:rPr>
        <w:t>; upraveno)</w:t>
      </w:r>
      <w:r w:rsidRPr="00396F4E">
        <w:t xml:space="preserve"> </w:t>
      </w:r>
    </w:p>
    <w:p w14:paraId="596BF899" w14:textId="77777777" w:rsidR="00396F4E" w:rsidRDefault="00396F4E" w:rsidP="00396F4E">
      <w:pPr>
        <w:pStyle w:val="Pa6"/>
        <w:jc w:val="center"/>
        <w:rPr>
          <w:rStyle w:val="A7"/>
        </w:rPr>
      </w:pPr>
    </w:p>
    <w:p w14:paraId="1E2CE2CC" w14:textId="77777777" w:rsidR="00396F4E" w:rsidRPr="00396F4E" w:rsidRDefault="00396F4E" w:rsidP="00396F4E">
      <w:pPr>
        <w:autoSpaceDE w:val="0"/>
        <w:autoSpaceDN w:val="0"/>
        <w:adjustRightInd w:val="0"/>
        <w:spacing w:after="0" w:line="201" w:lineRule="atLeast"/>
        <w:rPr>
          <w:rFonts w:ascii="HelveticaNeueLT Pro 57 Cn" w:hAnsi="HelveticaNeueLT Pro 57 Cn"/>
          <w:sz w:val="20"/>
          <w:szCs w:val="20"/>
        </w:rPr>
      </w:pPr>
    </w:p>
    <w:p w14:paraId="3B055E16" w14:textId="77777777" w:rsidR="00396F4E" w:rsidRDefault="00396F4E" w:rsidP="00396F4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HelveticaNeueLT Pro 55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6F4E">
        <w:rPr>
          <w:rFonts w:ascii="Times New Roman" w:hAnsi="Times New Roman" w:cs="Times New Roman"/>
          <w:sz w:val="28"/>
          <w:szCs w:val="28"/>
        </w:rPr>
        <w:t xml:space="preserve">V prvním </w:t>
      </w:r>
      <w:r w:rsidRPr="00396F4E">
        <w:rPr>
          <w:rFonts w:ascii="Times New Roman" w:hAnsi="Times New Roman" w:cs="Times New Roman"/>
          <w:sz w:val="28"/>
          <w:szCs w:val="28"/>
        </w:rPr>
        <w:t xml:space="preserve">řádku se pohybuj postupně směrem doprava vždy právě o tolik polí, kolik má každé </w:t>
      </w:r>
      <w:r w:rsidRPr="00396F4E">
        <w:rPr>
          <w:rFonts w:ascii="Times New Roman" w:eastAsia="HelveticaNeueLT Pro 55 Roman" w:hAnsi="Times New Roman" w:cs="Times New Roman"/>
          <w:b/>
          <w:bCs/>
          <w:sz w:val="28"/>
          <w:szCs w:val="28"/>
        </w:rPr>
        <w:t xml:space="preserve">z níže uvedených souvětí </w:t>
      </w:r>
      <w:r w:rsidRPr="00396F4E">
        <w:rPr>
          <w:rFonts w:ascii="Times New Roman" w:eastAsia="HelveticaNeueLT Pro 55 Roman" w:hAnsi="Times New Roman" w:cs="Times New Roman"/>
          <w:b/>
          <w:bCs/>
          <w:i/>
          <w:iCs/>
          <w:sz w:val="28"/>
          <w:szCs w:val="28"/>
        </w:rPr>
        <w:t xml:space="preserve">a–g </w:t>
      </w:r>
      <w:r w:rsidRPr="00396F4E">
        <w:rPr>
          <w:rFonts w:ascii="Times New Roman" w:eastAsia="HelveticaNeueLT Pro 55 Roman" w:hAnsi="Times New Roman" w:cs="Times New Roman"/>
          <w:b/>
          <w:bCs/>
          <w:sz w:val="28"/>
          <w:szCs w:val="28"/>
        </w:rPr>
        <w:t xml:space="preserve">vět. Písmena, ke kterým se posuneš, si zapiš. Získáš tak křestní jméno autora, z jehož díla pocházejí následující souvětí. </w:t>
      </w:r>
    </w:p>
    <w:p w14:paraId="57F751C0" w14:textId="77777777" w:rsidR="00396F4E" w:rsidRPr="00396F4E" w:rsidRDefault="00396F4E" w:rsidP="00396F4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HelveticaNeueLT Pro 55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396F4E" w:rsidRPr="00396F4E" w14:paraId="42162451" w14:textId="7777777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25" w:type="dxa"/>
          </w:tcPr>
          <w:p w14:paraId="460811D5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A </w:t>
            </w:r>
          </w:p>
        </w:tc>
        <w:tc>
          <w:tcPr>
            <w:tcW w:w="325" w:type="dxa"/>
          </w:tcPr>
          <w:p w14:paraId="3EA1057A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H </w:t>
            </w:r>
          </w:p>
        </w:tc>
        <w:tc>
          <w:tcPr>
            <w:tcW w:w="325" w:type="dxa"/>
          </w:tcPr>
          <w:p w14:paraId="425BDEC7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325" w:type="dxa"/>
          </w:tcPr>
          <w:p w14:paraId="597E60BE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J </w:t>
            </w:r>
          </w:p>
        </w:tc>
        <w:tc>
          <w:tcPr>
            <w:tcW w:w="325" w:type="dxa"/>
          </w:tcPr>
          <w:p w14:paraId="60523ACE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L </w:t>
            </w:r>
          </w:p>
        </w:tc>
        <w:tc>
          <w:tcPr>
            <w:tcW w:w="325" w:type="dxa"/>
          </w:tcPr>
          <w:p w14:paraId="4DA6CC3F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E </w:t>
            </w:r>
          </w:p>
        </w:tc>
        <w:tc>
          <w:tcPr>
            <w:tcW w:w="325" w:type="dxa"/>
          </w:tcPr>
          <w:p w14:paraId="12F67DCF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O </w:t>
            </w:r>
          </w:p>
        </w:tc>
        <w:tc>
          <w:tcPr>
            <w:tcW w:w="325" w:type="dxa"/>
          </w:tcPr>
          <w:p w14:paraId="1545176A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K </w:t>
            </w:r>
          </w:p>
        </w:tc>
        <w:tc>
          <w:tcPr>
            <w:tcW w:w="325" w:type="dxa"/>
          </w:tcPr>
          <w:p w14:paraId="169FED3D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325" w:type="dxa"/>
          </w:tcPr>
          <w:p w14:paraId="105D0BB0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F </w:t>
            </w:r>
          </w:p>
        </w:tc>
        <w:tc>
          <w:tcPr>
            <w:tcW w:w="325" w:type="dxa"/>
          </w:tcPr>
          <w:p w14:paraId="5C962033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S </w:t>
            </w:r>
          </w:p>
        </w:tc>
        <w:tc>
          <w:tcPr>
            <w:tcW w:w="325" w:type="dxa"/>
          </w:tcPr>
          <w:p w14:paraId="065E2663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E </w:t>
            </w:r>
          </w:p>
        </w:tc>
        <w:tc>
          <w:tcPr>
            <w:tcW w:w="325" w:type="dxa"/>
          </w:tcPr>
          <w:p w14:paraId="64F35FFB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V </w:t>
            </w:r>
          </w:p>
        </w:tc>
        <w:tc>
          <w:tcPr>
            <w:tcW w:w="325" w:type="dxa"/>
          </w:tcPr>
          <w:p w14:paraId="67B60CFA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T </w:t>
            </w:r>
          </w:p>
        </w:tc>
        <w:tc>
          <w:tcPr>
            <w:tcW w:w="325" w:type="dxa"/>
          </w:tcPr>
          <w:p w14:paraId="4E1CC922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U </w:t>
            </w:r>
          </w:p>
        </w:tc>
        <w:tc>
          <w:tcPr>
            <w:tcW w:w="325" w:type="dxa"/>
          </w:tcPr>
          <w:p w14:paraId="415CEFEC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M </w:t>
            </w:r>
          </w:p>
        </w:tc>
        <w:tc>
          <w:tcPr>
            <w:tcW w:w="325" w:type="dxa"/>
          </w:tcPr>
          <w:p w14:paraId="256D1105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L </w:t>
            </w:r>
          </w:p>
        </w:tc>
        <w:tc>
          <w:tcPr>
            <w:tcW w:w="325" w:type="dxa"/>
          </w:tcPr>
          <w:p w14:paraId="6432AFF3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E </w:t>
            </w:r>
          </w:p>
        </w:tc>
        <w:tc>
          <w:tcPr>
            <w:tcW w:w="325" w:type="dxa"/>
          </w:tcPr>
          <w:p w14:paraId="0794F3E5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H </w:t>
            </w:r>
          </w:p>
        </w:tc>
        <w:tc>
          <w:tcPr>
            <w:tcW w:w="325" w:type="dxa"/>
          </w:tcPr>
          <w:p w14:paraId="785D39E8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A </w:t>
            </w:r>
          </w:p>
        </w:tc>
        <w:tc>
          <w:tcPr>
            <w:tcW w:w="325" w:type="dxa"/>
          </w:tcPr>
          <w:p w14:paraId="2B836F72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P </w:t>
            </w:r>
          </w:p>
        </w:tc>
        <w:tc>
          <w:tcPr>
            <w:tcW w:w="325" w:type="dxa"/>
          </w:tcPr>
          <w:p w14:paraId="6C572D1F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 w:hint="eastAsia"/>
                <w:b/>
                <w:bCs/>
                <w:color w:val="FF0000"/>
                <w:sz w:val="28"/>
                <w:szCs w:val="28"/>
              </w:rPr>
              <w:t>Ř</w:t>
            </w: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5" w:type="dxa"/>
          </w:tcPr>
          <w:p w14:paraId="676AEDC1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I </w:t>
            </w:r>
          </w:p>
        </w:tc>
        <w:tc>
          <w:tcPr>
            <w:tcW w:w="325" w:type="dxa"/>
          </w:tcPr>
          <w:p w14:paraId="0C2FE9BF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K </w:t>
            </w:r>
          </w:p>
        </w:tc>
        <w:tc>
          <w:tcPr>
            <w:tcW w:w="325" w:type="dxa"/>
          </w:tcPr>
          <w:p w14:paraId="2526F5B1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L </w:t>
            </w:r>
          </w:p>
        </w:tc>
        <w:tc>
          <w:tcPr>
            <w:tcW w:w="325" w:type="dxa"/>
          </w:tcPr>
          <w:p w14:paraId="62AC4EB5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E </w:t>
            </w:r>
          </w:p>
        </w:tc>
        <w:tc>
          <w:tcPr>
            <w:tcW w:w="325" w:type="dxa"/>
          </w:tcPr>
          <w:p w14:paraId="07545391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N </w:t>
            </w:r>
          </w:p>
        </w:tc>
        <w:tc>
          <w:tcPr>
            <w:tcW w:w="325" w:type="dxa"/>
          </w:tcPr>
          <w:p w14:paraId="4916A509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O </w:t>
            </w:r>
          </w:p>
        </w:tc>
        <w:tc>
          <w:tcPr>
            <w:tcW w:w="325" w:type="dxa"/>
          </w:tcPr>
          <w:p w14:paraId="04C62F6D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L </w:t>
            </w:r>
          </w:p>
        </w:tc>
      </w:tr>
      <w:tr w:rsidR="00396F4E" w:rsidRPr="00396F4E" w14:paraId="1EE25F92" w14:textId="7777777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25" w:type="dxa"/>
          </w:tcPr>
          <w:p w14:paraId="667C0859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K </w:t>
            </w:r>
          </w:p>
        </w:tc>
        <w:tc>
          <w:tcPr>
            <w:tcW w:w="325" w:type="dxa"/>
          </w:tcPr>
          <w:p w14:paraId="3F591EC4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I </w:t>
            </w:r>
          </w:p>
        </w:tc>
        <w:tc>
          <w:tcPr>
            <w:tcW w:w="325" w:type="dxa"/>
          </w:tcPr>
          <w:p w14:paraId="58FE1646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G </w:t>
            </w:r>
          </w:p>
        </w:tc>
        <w:tc>
          <w:tcPr>
            <w:tcW w:w="325" w:type="dxa"/>
          </w:tcPr>
          <w:p w14:paraId="26A969CD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R </w:t>
            </w:r>
          </w:p>
        </w:tc>
        <w:tc>
          <w:tcPr>
            <w:tcW w:w="325" w:type="dxa"/>
          </w:tcPr>
          <w:p w14:paraId="4C4CA64D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A </w:t>
            </w:r>
          </w:p>
        </w:tc>
        <w:tc>
          <w:tcPr>
            <w:tcW w:w="325" w:type="dxa"/>
          </w:tcPr>
          <w:p w14:paraId="3394C718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S </w:t>
            </w:r>
          </w:p>
        </w:tc>
        <w:tc>
          <w:tcPr>
            <w:tcW w:w="325" w:type="dxa"/>
          </w:tcPr>
          <w:p w14:paraId="6DA6A581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U </w:t>
            </w:r>
          </w:p>
        </w:tc>
        <w:tc>
          <w:tcPr>
            <w:tcW w:w="325" w:type="dxa"/>
          </w:tcPr>
          <w:p w14:paraId="2D283223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A </w:t>
            </w:r>
          </w:p>
        </w:tc>
        <w:tc>
          <w:tcPr>
            <w:tcW w:w="325" w:type="dxa"/>
          </w:tcPr>
          <w:p w14:paraId="7A182E52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E </w:t>
            </w:r>
          </w:p>
        </w:tc>
        <w:tc>
          <w:tcPr>
            <w:tcW w:w="325" w:type="dxa"/>
          </w:tcPr>
          <w:p w14:paraId="0CB5F62E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R </w:t>
            </w:r>
          </w:p>
        </w:tc>
        <w:tc>
          <w:tcPr>
            <w:tcW w:w="325" w:type="dxa"/>
          </w:tcPr>
          <w:p w14:paraId="3BB1F5E3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O </w:t>
            </w:r>
          </w:p>
        </w:tc>
        <w:tc>
          <w:tcPr>
            <w:tcW w:w="325" w:type="dxa"/>
          </w:tcPr>
          <w:p w14:paraId="3532E1A1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D </w:t>
            </w:r>
          </w:p>
        </w:tc>
        <w:tc>
          <w:tcPr>
            <w:tcW w:w="325" w:type="dxa"/>
          </w:tcPr>
          <w:p w14:paraId="7C06A0FF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R </w:t>
            </w:r>
          </w:p>
        </w:tc>
        <w:tc>
          <w:tcPr>
            <w:tcW w:w="325" w:type="dxa"/>
          </w:tcPr>
          <w:p w14:paraId="255B49BB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Y </w:t>
            </w:r>
          </w:p>
        </w:tc>
        <w:tc>
          <w:tcPr>
            <w:tcW w:w="325" w:type="dxa"/>
          </w:tcPr>
          <w:p w14:paraId="3A283E69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B </w:t>
            </w:r>
          </w:p>
        </w:tc>
        <w:tc>
          <w:tcPr>
            <w:tcW w:w="325" w:type="dxa"/>
          </w:tcPr>
          <w:p w14:paraId="34EF13D1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E </w:t>
            </w:r>
          </w:p>
        </w:tc>
        <w:tc>
          <w:tcPr>
            <w:tcW w:w="325" w:type="dxa"/>
          </w:tcPr>
          <w:p w14:paraId="52D81250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 w:hint="eastAsia"/>
                <w:b/>
                <w:bCs/>
                <w:color w:val="FF0000"/>
                <w:sz w:val="28"/>
                <w:szCs w:val="28"/>
              </w:rPr>
              <w:t>Č</w:t>
            </w: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5" w:type="dxa"/>
          </w:tcPr>
          <w:p w14:paraId="46437BA7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F </w:t>
            </w:r>
          </w:p>
        </w:tc>
        <w:tc>
          <w:tcPr>
            <w:tcW w:w="325" w:type="dxa"/>
          </w:tcPr>
          <w:p w14:paraId="25EB816C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 w:hint="eastAsia"/>
                <w:b/>
                <w:bCs/>
                <w:color w:val="FF0000"/>
                <w:sz w:val="28"/>
                <w:szCs w:val="28"/>
              </w:rPr>
              <w:t>Ř</w:t>
            </w: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5" w:type="dxa"/>
          </w:tcPr>
          <w:p w14:paraId="56D0D836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I </w:t>
            </w:r>
          </w:p>
        </w:tc>
        <w:tc>
          <w:tcPr>
            <w:tcW w:w="325" w:type="dxa"/>
          </w:tcPr>
          <w:p w14:paraId="25037080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R </w:t>
            </w:r>
          </w:p>
        </w:tc>
        <w:tc>
          <w:tcPr>
            <w:tcW w:w="325" w:type="dxa"/>
          </w:tcPr>
          <w:p w14:paraId="0FFFB306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T </w:t>
            </w:r>
          </w:p>
        </w:tc>
        <w:tc>
          <w:tcPr>
            <w:tcW w:w="325" w:type="dxa"/>
          </w:tcPr>
          <w:p w14:paraId="5F839C75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P </w:t>
            </w:r>
          </w:p>
        </w:tc>
        <w:tc>
          <w:tcPr>
            <w:tcW w:w="325" w:type="dxa"/>
          </w:tcPr>
          <w:p w14:paraId="571625F2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R </w:t>
            </w:r>
          </w:p>
        </w:tc>
        <w:tc>
          <w:tcPr>
            <w:tcW w:w="325" w:type="dxa"/>
          </w:tcPr>
          <w:p w14:paraId="07BA8EE8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A </w:t>
            </w:r>
          </w:p>
        </w:tc>
        <w:tc>
          <w:tcPr>
            <w:tcW w:w="325" w:type="dxa"/>
          </w:tcPr>
          <w:p w14:paraId="1B091387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C </w:t>
            </w:r>
          </w:p>
        </w:tc>
        <w:tc>
          <w:tcPr>
            <w:tcW w:w="325" w:type="dxa"/>
          </w:tcPr>
          <w:p w14:paraId="463EF331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I </w:t>
            </w:r>
          </w:p>
        </w:tc>
        <w:tc>
          <w:tcPr>
            <w:tcW w:w="325" w:type="dxa"/>
          </w:tcPr>
          <w:p w14:paraId="78046DC6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S </w:t>
            </w:r>
          </w:p>
        </w:tc>
        <w:tc>
          <w:tcPr>
            <w:tcW w:w="325" w:type="dxa"/>
          </w:tcPr>
          <w:p w14:paraId="5CF43000" w14:textId="77777777" w:rsidR="00396F4E" w:rsidRPr="00396F4E" w:rsidRDefault="00396F4E" w:rsidP="00396F4E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HelveticaNeueLT Pro 55 Roman" w:eastAsia="HelveticaNeueLT Pro 55 Roman" w:hAnsi="HelveticaNeueLT Pro 57 Cn" w:cs="HelveticaNeueLT Pro 55 Roman"/>
                <w:color w:val="FF0000"/>
                <w:sz w:val="28"/>
                <w:szCs w:val="28"/>
              </w:rPr>
            </w:pPr>
            <w:r w:rsidRPr="00396F4E">
              <w:rPr>
                <w:rFonts w:ascii="HelveticaNeueLT Pro 55 Roman" w:eastAsia="HelveticaNeueLT Pro 55 Roman" w:hAnsi="HelveticaNeueLT Pro 57 Cn" w:cs="HelveticaNeueLT Pro 55 Roman"/>
                <w:b/>
                <w:bCs/>
                <w:color w:val="FF0000"/>
                <w:sz w:val="28"/>
                <w:szCs w:val="28"/>
              </w:rPr>
              <w:t xml:space="preserve">O </w:t>
            </w:r>
          </w:p>
        </w:tc>
      </w:tr>
    </w:tbl>
    <w:p w14:paraId="6D792945" w14:textId="77777777" w:rsidR="00396F4E" w:rsidRDefault="00396F4E" w:rsidP="00396F4E">
      <w:pPr>
        <w:pStyle w:val="Default"/>
      </w:pPr>
    </w:p>
    <w:p w14:paraId="5C3135F9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a) Zdálo se jí, že se jmenuje Nova a má prababičku jménem Anna, která se narodila ve stejný den jako ona. </w:t>
      </w:r>
    </w:p>
    <w:p w14:paraId="66F07FAD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b) Ta prababička, které říkali Pralinka, měla na prstě stejný prsten s rubínem, jaká má Anna na prstě teď. </w:t>
      </w:r>
    </w:p>
    <w:p w14:paraId="335EF11B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c) Nepřipadalo jí nijak podivné, že se ve snu viděla jako vlastní pravnouče, protože jednou se jí zdálo, že je Napoleon, nebo dokonce divoká husa. </w:t>
      </w:r>
    </w:p>
    <w:p w14:paraId="5C5469CE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d) Všechno, co se jí zdálo, jí připadalo tak </w:t>
      </w:r>
      <w:proofErr w:type="gramStart"/>
      <w:r w:rsidRPr="00396F4E">
        <w:rPr>
          <w:rFonts w:ascii="Times New Roman" w:hAnsi="Times New Roman" w:cs="Times New Roman"/>
          <w:sz w:val="28"/>
          <w:szCs w:val="28"/>
        </w:rPr>
        <w:t>blízko</w:t>
      </w:r>
      <w:proofErr w:type="gramEnd"/>
      <w:r w:rsidRPr="00396F4E">
        <w:rPr>
          <w:rFonts w:ascii="Times New Roman" w:hAnsi="Times New Roman" w:cs="Times New Roman"/>
          <w:sz w:val="28"/>
          <w:szCs w:val="28"/>
        </w:rPr>
        <w:t xml:space="preserve"> a tak skutečné nejen ve snu, ale ještě dlouho poté, co se probudila. </w:t>
      </w:r>
    </w:p>
    <w:p w14:paraId="2D6BEB3D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e) Plná hořkosti a nenávisti se obracela na starou prababičku a žádala ji, aby jí vrátila starý svět a přírodu stejně bohatou a různorodou, jako ji prababička zažila na začátku jednadvacátého století. </w:t>
      </w:r>
    </w:p>
    <w:p w14:paraId="202C501D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f) Pak se stal zázrak, protože teď je najednou skutečně začátek století a všechno zlé, k čemu došlo od chvíle, kdy bylo prababičce šestnáct, se napravilo. </w:t>
      </w:r>
    </w:p>
    <w:p w14:paraId="5F0A30EA" w14:textId="77777777" w:rsidR="00396F4E" w:rsidRPr="00396F4E" w:rsidRDefault="00396F4E" w:rsidP="00396F4E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g) Svět je úplně nový, bylo mu odpuštěno a všechny vyhynulé rostliny a zvířata se objeví znovu, jsou znovu instalovány. </w:t>
      </w:r>
    </w:p>
    <w:p w14:paraId="25036CAF" w14:textId="77777777" w:rsidR="00396F4E" w:rsidRPr="00396F4E" w:rsidRDefault="00396F4E" w:rsidP="00396F4E">
      <w:pPr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(jméno i příjmení autora je součástí tajenky; upraveno)</w:t>
      </w:r>
    </w:p>
    <w:p w14:paraId="0F6D29BA" w14:textId="77777777" w:rsidR="00396F4E" w:rsidRPr="00396F4E" w:rsidRDefault="00396F4E" w:rsidP="00396F4E">
      <w:pPr>
        <w:rPr>
          <w:rFonts w:ascii="Times New Roman" w:eastAsia="HelveticaNeueLT Pro 55 Roman" w:hAnsi="Times New Roman" w:cs="Times New Roman"/>
          <w:color w:val="000000"/>
          <w:sz w:val="28"/>
          <w:szCs w:val="28"/>
        </w:rPr>
      </w:pPr>
      <w:r w:rsidRPr="00396F4E">
        <w:rPr>
          <w:rFonts w:ascii="Times New Roman" w:hAnsi="Times New Roman" w:cs="Times New Roman"/>
          <w:b/>
          <w:bCs/>
          <w:sz w:val="28"/>
          <w:szCs w:val="28"/>
        </w:rPr>
        <w:t>b) Ve druhém řádku se pohybuj doprava o tolik polí, kolik má dané souvětí vět vedlejších. Písmena, ke kterým se posuneš, si zapiš. Pokud nastane situace, že souvětí nemá větu vedlejší, posuň se o 5 polí. Poskládáním zapsaných písmen podle pořadí získáš příjmení autora.</w:t>
      </w:r>
    </w:p>
    <w:p w14:paraId="69E6883A" w14:textId="77777777" w:rsidR="00396F4E" w:rsidRPr="00396F4E" w:rsidRDefault="00396F4E" w:rsidP="00396F4E">
      <w:pPr>
        <w:rPr>
          <w:rFonts w:ascii="Times New Roman" w:eastAsia="HelveticaNeueLT Pro 55 Roman" w:hAnsi="Times New Roman" w:cs="Times New Roman"/>
          <w:color w:val="000000"/>
          <w:sz w:val="28"/>
          <w:szCs w:val="28"/>
        </w:rPr>
      </w:pPr>
    </w:p>
    <w:p w14:paraId="4C051A19" w14:textId="77777777" w:rsidR="00396F4E" w:rsidRPr="00396F4E" w:rsidRDefault="00396F4E" w:rsidP="00396F4E">
      <w:pPr>
        <w:rPr>
          <w:rFonts w:ascii="Times New Roman" w:hAnsi="Times New Roman" w:cs="Times New Roman"/>
          <w:sz w:val="28"/>
          <w:szCs w:val="28"/>
        </w:rPr>
        <w:sectPr w:rsidR="00396F4E" w:rsidRPr="00396F4E">
          <w:pgSz w:w="11905" w:h="16837"/>
          <w:pgMar w:top="1400" w:right="900" w:bottom="0" w:left="900" w:header="708" w:footer="708" w:gutter="0"/>
          <w:cols w:space="708"/>
          <w:noEndnote/>
        </w:sect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02"/>
      </w:tblGrid>
      <w:tr w:rsidR="00396F4E" w:rsidRPr="00396F4E" w14:paraId="3FBE9FA2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502" w:type="dxa"/>
          </w:tcPr>
          <w:p w14:paraId="7AC702AD" w14:textId="77777777" w:rsidR="00396F4E" w:rsidRPr="00396F4E" w:rsidRDefault="00396F4E">
            <w:pPr>
              <w:pStyle w:val="Pa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6F4E" w14:paraId="62525BE7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502" w:type="dxa"/>
          </w:tcPr>
          <w:p w14:paraId="0EFEDC33" w14:textId="77777777" w:rsidR="00396F4E" w:rsidRDefault="00396F4E">
            <w:pPr>
              <w:pStyle w:val="Pa2"/>
              <w:jc w:val="both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  <w:tr w:rsidR="00396F4E" w14:paraId="701DA1C7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502" w:type="dxa"/>
          </w:tcPr>
          <w:p w14:paraId="0C9CA2C9" w14:textId="77777777" w:rsidR="00396F4E" w:rsidRDefault="00396F4E">
            <w:pPr>
              <w:pStyle w:val="Pa2"/>
              <w:jc w:val="both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  <w:tr w:rsidR="00396F4E" w14:paraId="59E6994C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502" w:type="dxa"/>
          </w:tcPr>
          <w:p w14:paraId="3BD4484E" w14:textId="77777777" w:rsidR="00396F4E" w:rsidRDefault="00396F4E">
            <w:pPr>
              <w:pStyle w:val="Pa2"/>
              <w:jc w:val="both"/>
              <w:rPr>
                <w:rFonts w:cs="HelveticaNeueLT Pro 55 Roman"/>
                <w:color w:val="000000"/>
                <w:sz w:val="20"/>
                <w:szCs w:val="20"/>
              </w:rPr>
            </w:pPr>
          </w:p>
        </w:tc>
      </w:tr>
    </w:tbl>
    <w:p w14:paraId="7E93E4F4" w14:textId="77777777" w:rsidR="00396F4E" w:rsidRPr="00396F4E" w:rsidRDefault="00396F4E" w:rsidP="00396F4E">
      <w:pPr>
        <w:rPr>
          <w:rFonts w:ascii="Times New Roman" w:hAnsi="Times New Roman" w:cs="Times New Roman"/>
          <w:sz w:val="28"/>
          <w:szCs w:val="28"/>
        </w:rPr>
      </w:pPr>
    </w:p>
    <w:sectPr w:rsidR="00396F4E" w:rsidRPr="0039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7 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4E"/>
    <w:rsid w:val="00396F4E"/>
    <w:rsid w:val="00C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DB9D"/>
  <w15:chartTrackingRefBased/>
  <w15:docId w15:val="{50D8BAE8-1A90-4CA5-8FCE-4FD1BA7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6F4E"/>
    <w:pPr>
      <w:autoSpaceDE w:val="0"/>
      <w:autoSpaceDN w:val="0"/>
      <w:adjustRightInd w:val="0"/>
      <w:spacing w:after="0" w:line="240" w:lineRule="auto"/>
    </w:pPr>
    <w:rPr>
      <w:rFonts w:ascii="HelveticaNeueLT Pro 55 Roman" w:eastAsia="HelveticaNeueLT Pro 55 Roman" w:cs="HelveticaNeueLT Pro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96F4E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396F4E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96F4E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96F4E"/>
    <w:rPr>
      <w:rFonts w:cs="HelveticaNeueLT Pro 55 Roman"/>
      <w:b/>
      <w:bCs/>
      <w:color w:val="000000"/>
      <w:sz w:val="18"/>
      <w:szCs w:val="18"/>
    </w:rPr>
  </w:style>
  <w:style w:type="paragraph" w:customStyle="1" w:styleId="Pa25">
    <w:name w:val="Pa25"/>
    <w:basedOn w:val="Default"/>
    <w:next w:val="Default"/>
    <w:uiPriority w:val="99"/>
    <w:rsid w:val="00396F4E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96F4E"/>
    <w:pPr>
      <w:spacing w:line="201" w:lineRule="atLeast"/>
    </w:pPr>
    <w:rPr>
      <w:rFonts w:ascii="HelveticaNeueLT Pro 57 Cn" w:eastAsiaTheme="minorHAnsi" w:hAnsi="HelveticaNeueLT Pro 57 Cn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96F4E"/>
    <w:pPr>
      <w:spacing w:line="201" w:lineRule="atLeast"/>
    </w:pPr>
    <w:rPr>
      <w:rFonts w:ascii="HelveticaNeueLT Pro 57 Cn" w:eastAsiaTheme="minorHAnsi" w:hAnsi="HelveticaNeueLT Pro 57 C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A00AE-D7B3-454A-BFC7-9F666AE4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864AC-22E4-4C16-A643-5E5744944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9A2DF-CA54-4FBE-A97C-E8E746D883BD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3f609678-6325-43e5-a22d-2d1019258b4a"/>
    <ds:schemaRef ds:uri="http://schemas.microsoft.com/office/infopath/2007/PartnerControls"/>
    <ds:schemaRef ds:uri="aaeb3677-8ee9-47f4-ad1b-015a2f353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2020-04-26T13:07:00Z</dcterms:created>
  <dcterms:modified xsi:type="dcterms:W3CDTF">2020-04-26T13:18:00Z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